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urodziny obchodzi Lamborghini: firma świętuje 63 lata i solidne wyniki w pierwszym kwartale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Automobili Lamborghini obchodzi w tym roku 63. rocznicę powstania firmy, ogłaszając obiecujące wyniki finansowe za pierwszy kwartał 2026. W pierwszych trzech miesiącach roku, firma z siedzibą w Sant’Agata Bolognese, dostarczyła na rynek 2620 pojazdów, osiągając przychody w wysokości 863 mln euro, wynik operacyjny na poziomie 200 mln euro oraz rentowność wynoszącą 23,1%. Rezultaty te potwierdzają ścieżkę odpowiedzialnego wzrostu budowaną przez lata oraz siłę strategii, która w ostatnich latach pozwoliła marce osiągnąć rekordowe wyniki.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Pierwszy kwartał przyniósł zarówno sukcesy, jak i wyzwania w roku, który zapowiada się jako wymagający, ale jednocześnie obfitujący w ważne kamienie milowe dla naszej marki. Rozpoczęcie dostaw modelu Temerario, uzupełniającego w pełni zhybrydyzowaną gamę produktów, solidny portfel zamówień na całą gamę modeli oraz nowe modele, które pojawią się w nadchodzących miesiącach, potwierdzają, że obrany przez nas kierunek jest właściwy. To właśnie na tych fundamentach z determinacją patrzymy na pozostałą część 2026 roku, mając pewność, że siła marki nadal będzie doceniana przez klientów na całym świecie </w:t>
      </w:r>
      <w:r>
        <w:rPr>
          <w:rFonts w:ascii="calibri" w:hAnsi="calibri" w:eastAsia="calibri" w:cs="calibri"/>
          <w:sz w:val="24"/>
          <w:szCs w:val="24"/>
        </w:rPr>
        <w:t xml:space="preserve">– komentuje Stephan Winkelmann, prezes i dyrektor generalny Automobili Lamborghini.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poprzednim czasie, w pierwszym kwartale 2026 r. na wynik operacyjny wpłynęły czynniki zewnętrzne, takie jak niekorzystne wahania kursów walutowych oraz amerykańskie cła. Po roku przejściowym 2025, związanym z uruchomieniem produkcji modelu Temerario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, firma z siedzibą w Sant’Agata Bolognese powróciła do bardziej zrównoważonego rozłożenia dostaw w poszczególnych kwartałach roku obrotowego.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2026 rozpoczyna się w atmosferze ciągłości i utrwalenia dotychczasowych osiągnięć. W kontekście geopolitycznym i makroekonomicznym, który od kilku lat charakteryzuje się dużą złożonością i zmiennością. Wyniki finansowe po raz kolejny potwierdzają naszą ścieżkę zrównoważonego wzrostu gospodarczego i finansowego, wspieraną przez portfel zamówień, który odzwierciedla nasze zaangażowanie w utrzymanie długoterminowej wartości dla naszych interesariuszy i pozwala nam z optymizmem patrzeć w przyszłość</w:t>
      </w:r>
      <w:r>
        <w:rPr>
          <w:rFonts w:ascii="calibri" w:hAnsi="calibri" w:eastAsia="calibri" w:cs="calibri"/>
          <w:sz w:val="24"/>
          <w:szCs w:val="24"/>
        </w:rPr>
        <w:t xml:space="preserve"> – mówi Paolo Poma, dyrektor zarządzający i dyrektor finansowy Automobili Lamborghini.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realizacji dostaw, sprzedaż rozkładała się na trzy główne regiony handlowe: w krajach EMEA, Ameryce oraz regionie APAC dostarczono odpowiednio 1 398, 711 i 511 pojazdów. Po raz pierwszy, w wynikach dotyczących dostaw, uwzględniono również wszystkie trzy modele Automobili Lamborghini. Z początkiem 2026 roku rozpoczęły się dostawy modelu Temerario – pierwszego supersamochodu marki wyposażonego w silnik V8 z podwójnym turbodoładowaniem oraz trzy silniki elektryczne, który dołączył do modeli Revuelto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i Urus SE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, uzupełniając w ten sposób w pełni zhybrydyzowaną gamę modeli. W całym asortymencie liczba zamówień utrzymuje się na wysokim poziomie – w przypadku modelu Revuelto czas oczekiwania wynosi ponad rok, natomiast modele Urus SE i Temerario są już niemal w całości zarezerwowane na rok 2026.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63 – numer, który przechodzi przez historię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została oficjalnie założona 7 maja 1963 roku, a 2 października tego samego roku po raz pierwszy uruchomiono na stanowisku testowym silnik V12 o pojemności 3,5 litra, który miał ewoluować i stać się bijącym sercem flagowych modeli Lamborghini przez sześć dekad. 20 października 1963 r. pierwszy prototyp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Lamborghini 350 GTV, został zaprezentowany włoskiej prasie w Sant’Agata Bolognese, na tle wciąż budowanego budynku fabryki. Dziesięć dni później, 30 października, samochód został zaprezentowany publiczności podczas Turin Motor Show, co oficjalnie oznaczało narodziny nowej marki.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liczba 63 nie jest już tylko odniesieniem do ważnego roku, ale powracający motywem w języku Lamborghini. Jest to motyw natychmiast kojarzony z marką Lamborghini, spójny i dyskretny, elastyczny i wyrafinowany. Nie jest to po prostu hołd dla historii, ale dynamiczne nawiązanie marki do jej dziedzictwa.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Rok 1963 to dla nas początek wizji, która prowadzi nas do teraz. Dzisiaj 63 to znacznie więcej niż liczba: to symbol wyrażający naszą istotę. Świętowanie tej rocznicy oznacza dalszy rozwój przy jednoczesnym pozostaniu wiernym naszym korzeniom </w:t>
      </w:r>
      <w:r>
        <w:rPr>
          <w:rFonts w:ascii="calibri" w:hAnsi="calibri" w:eastAsia="calibri" w:cs="calibri"/>
          <w:sz w:val="24"/>
          <w:szCs w:val="24"/>
        </w:rPr>
        <w:t xml:space="preserve">– powiedział Stephan Winkelmann, prezes i dyrektor generalny Automobili Lamborghini.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Lamborghini w Polsce dystrybuowane jest od 2014 roku przez Porsche Inter Auto Polska, m.in. w warszawskim salonie Lamborghini Warszawa.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Temerario (WLTP): Zużycie energii (średnia ważona w cyklu mieszanym): 6,4–4,3 kWh/100 km oraz 11,2–10,3 l/100 km; Emisja CO₂ (średnia ważona w cyklu mieszanym): 272–252 g/km; klasa CO₂ (średnia ważona): G; klasa CO₂ przy rozładowanym akumulatorze: G; zużycie paliwa przy rozładowanym akumulatorze (średnia): 14 l/100 km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Revuelto (WLTP): Zużycie energii (średnia ważona): 4,7 kWh/100 km plus 15 l/100 km; Emisja CO₂ (średnia ważona): 350 g/km; Klasa CO₂ (średnia ważona): G; Klasa CO₂ przy rozładowanym akumulatorze: G; Zużycie paliwa przy rozładowanym akumulatorze (średnia ważona): 17,9 l/100 km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Urus SE (WLTP): Zużycie energii (średnia ważona): 21,4 kWh/100 km plus 5,71 l/100 km; Emisja CO₂ (średnia ważona): 140 g/km; Klasa CO₂ (średnia ważona): E; Klasa CO₂ przy rozładowanym akumulatorze: G; Zużycie paliwa przy rozładowanym akumulatorze (średnia ważona): 12,9 l/100 km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hesays.biuroprasowe.pl/word/?hash=9fccfb7e5ae9a0b4bbd8683ddd8f4570&amp;id=212742&amp;typ=epr#_ftn1" TargetMode="External"/><Relationship Id="rId8" Type="http://schemas.openxmlformats.org/officeDocument/2006/relationships/hyperlink" Target="http://shesays.biuroprasowe.pl/word/?hash=9fccfb7e5ae9a0b4bbd8683ddd8f4570&amp;id=212742&amp;typ=epr#_ftn2" TargetMode="External"/><Relationship Id="rId9" Type="http://schemas.openxmlformats.org/officeDocument/2006/relationships/hyperlink" Target="http://shesays.biuroprasowe.pl/word/?hash=9fccfb7e5ae9a0b4bbd8683ddd8f4570&amp;id=212742&amp;typ=epr#_ftn3" TargetMode="External"/><Relationship Id="rId10" Type="http://schemas.openxmlformats.org/officeDocument/2006/relationships/hyperlink" Target="http://shesays.biuroprasowe.pl/word/?hash=9fccfb7e5ae9a0b4bbd8683ddd8f4570&amp;id=212742&amp;typ=epr#_ftnref1" TargetMode="External"/><Relationship Id="rId11" Type="http://schemas.openxmlformats.org/officeDocument/2006/relationships/hyperlink" Target="http://shesays.biuroprasowe.pl/word/?hash=9fccfb7e5ae9a0b4bbd8683ddd8f4570&amp;id=212742&amp;typ=epr#_ftnref2" TargetMode="External"/><Relationship Id="rId12" Type="http://schemas.openxmlformats.org/officeDocument/2006/relationships/hyperlink" Target="http://shesays.biuroprasowe.pl/word/?hash=9fccfb7e5ae9a0b4bbd8683ddd8f4570&amp;id=212742&amp;typ=epr#_ftnre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2026-10-12T02:03:13+02:00</dcterms:created>
  <dcterms:modified xsi:type="dcterms:W3CDTF">2026-10-12T02:03:13+02:00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