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urodziny obchodzi Lamborghini: firma świętuje 63 lata i solidne wyniki w pierwszym kwartale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Automobili Lamborghini obchodzi w tym roku 63. rocznicę powstania firmy, ogłaszając obiecujące wyniki finansowe za pierwszy kwartał 2026. W pierwszych trzech miesiącach roku, firma z siedzibą w Sant’Agata Bolognese, dostarczyła na rynek 2620 pojazdów, osiągając przychody w wysokości 863 mln euro, wynik operacyjny na poziomie 200 mln euro oraz rentowność wynoszącą 23,1%. Rezultaty te potwierdzają ścieżkę odpowiedzialnego wzrostu budowaną przez lata oraz siłę strategii, która w ostatnich latach pozwoliła marce osiągnąć rekordowe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Pierwszy kwartał przyniósł zarówno sukcesy, jak i wyzwania w roku, który zapowiada się jako wymagający, ale jednocześnie obfitujący w ważne kamienie milowe dla naszej marki. Rozpoczęcie dostaw modelu Temerario, uzupełniającego w pełni zhybrydyzowaną gamę produktów, solidny portfel zamówień na całą gamę modeli oraz nowe modele, które pojawią się w nadchodzących miesiącach, potwierdzają, że obrany przez nas kierunek jest właściwy. To właśnie na tych fundamentach z determinacją patrzymy na pozostałą część 2026 roku, mając pewność, że siła marki nadal będzie doceniana przez klientów na całym świecie </w:t>
      </w:r>
      <w:r>
        <w:rPr>
          <w:rFonts w:ascii="calibri" w:hAnsi="calibri" w:eastAsia="calibri" w:cs="calibri"/>
          <w:sz w:val="24"/>
          <w:szCs w:val="24"/>
        </w:rPr>
        <w:t xml:space="preserve">– komentuje Stephan Winkelmann, prezes i dyrektor generalny Automobili Lamborghini.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poprzednim czasie, w pierwszym kwartale 2026 r. na wynik operacyjny wpłynęły czynniki zewnętrzne, takie jak niekorzystne wahania kursów walutowych oraz amerykańskie cła. Po roku przejściowym 2025, związanym z uruchomieniem produkcji modelu Temerario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z siedzibą w Sant’Agata Bolognese powróciła do bardziej zrównoważonego rozłożenia dostaw w poszczególnych kwartałach roku obrotowego.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2026 rozpoczyna się w atmosferze ciągłości i utrwalenia dotychczasowych osiągnięć. W kontekście geopolitycznym i makroekonomicznym, który od kilku lat charakteryzuje się dużą złożonością i zmiennością. Wyniki finansowe po raz kolejny potwierdzają naszą ścieżkę zrównoważonego wzrostu gospodarczego i finansowego, wspieraną przez portfel zamówień, który odzwierciedla nasze zaangażowanie w utrzymanie długoterminowej wartości dla naszych interesariuszy i pozwala nam z optymizmem patrzeć w przyszłość</w:t>
      </w:r>
      <w:r>
        <w:rPr>
          <w:rFonts w:ascii="calibri" w:hAnsi="calibri" w:eastAsia="calibri" w:cs="calibri"/>
          <w:sz w:val="24"/>
          <w:szCs w:val="24"/>
        </w:rPr>
        <w:t xml:space="preserve"> – mówi Paolo Poma, dyrektor zarządzający i dyrektor finansowy Automobili Lamborghini.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realizacji dostaw, sprzedaż rozkładała się na trzy główne regiony handlowe: w krajach EMEA, Ameryce oraz regionie APAC dostarczono odpowiednio 1 398, 711 i 511 pojazdów. Po raz pierwszy, w wynikach dotyczących dostaw, uwzględniono również wszystkie trzy modele Automobili Lamborghini. Z początkiem 2026 roku rozpoczęły się dostawy modelu Temerario – pierwszego supersamochodu marki wyposażonego w silnik V8 z podwójnym turbodoładowaniem oraz trzy silniki elektryczne, który dołączył do modeli Revuelto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Urus SE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uzupełniając w ten sposób w pełni zhybrydyzowaną gamę modeli. W całym asortymencie liczba zamówień utrzymuje się na wysokim poziomie – w przypadku modelu Revuelto czas oczekiwania wynosi ponad rok, natomiast modele Urus SE i Temerario są już niemal w całości zarezerwowane na rok 2026.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63 – numer, który przechodzi przez historię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została oficjalnie założona 7 maja 1963 roku, a 2 października tego samego roku po raz pierwszy uruchomiono na stanowisku testowym silnik V12 o pojemności 3,5 litra, który miał ewoluować i stać się bijącym sercem flagowych modeli Lamborghini przez sześć dekad. 20 października 1963 r. pierwszy prototyp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Lamborghini 350 GTV, został zaprezentowany włoskiej prasie w Sant’Agata Bolognese, na tle wciąż budowanego budynku fabryki. Dziesięć dni później, 30 października, samochód został zaprezentowany publiczności podczas Turin Motor Show, co oficjalnie oznaczało narodziny nowej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liczba 63 nie jest już tylko odniesieniem do ważnego roku, ale powracający motywem w języku Lamborghini. Jest to motyw natychmiast kojarzony z marką Lamborghini, spójny i dyskretny, elastyczny i wyrafinowany. Nie jest to po prostu hołd dla historii, ale dynamiczne nawiązanie marki do jej dziedzictwa.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Rok 1963 to dla nas początek wizji, która prowadzi nas do teraz. Dzisiaj 63 to znacznie więcej niż liczba: to symbol wyrażający naszą istotę. Świętowanie tej rocznicy oznacza dalszy rozwój przy jednoczesnym pozostaniu wiernym naszym korzeniom </w:t>
      </w:r>
      <w:r>
        <w:rPr>
          <w:rFonts w:ascii="calibri" w:hAnsi="calibri" w:eastAsia="calibri" w:cs="calibri"/>
          <w:sz w:val="24"/>
          <w:szCs w:val="24"/>
        </w:rPr>
        <w:t xml:space="preserve">– powiedział Stephan Winkelmann, prezes i dyrektor generalny Automobili Lamborghini.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Lamborghini w Polsce dystrybuowane jest od 2014 roku przez Porsche Inter Auto Polska, m.in. w warszawskim salonie Lamborghini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Temerario (WLTP): Zużycie energii (średnia ważona w cyklu mieszanym): 6,4–4,3 kWh/100 km oraz 11,2–10,3 l/100 km; Emisja CO₂ (średnia ważona w cyklu mieszanym): 272–252 g/km; klasa CO₂ (średnia ważona): G; klasa CO₂ przy rozładowanym akumulatorze: G; zużycie paliwa przy rozładowanym akumulatorze (średnia): 14 l/100 km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Revuelto (WLTP): Zużycie energii (średnia ważona): 4,7 kWh/100 km plus 15 l/100 km; Emisja CO₂ (średnia ważona): 350 g/km; Klasa CO₂ (średnia ważona): G; Klasa CO₂ przy rozładowanym akumulatorze: G; Zużycie paliwa przy rozładowanym akumulatorze (średnia ważona): 17,9 l/100 km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Urus SE (WLTP): Zużycie energii (średnia ważona): 21,4 kWh/100 km plus 5,71 l/100 km; Emisja CO₂ (średnia ważona): 140 g/km; Klasa CO₂ (średnia ważona): E; Klasa CO₂ przy rozładowanym akumulatorze: G; Zużycie paliwa przy rozładowanym akumulatorze (średnia ważona): 12,9 l/100 km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esays.biuroprasowe.pl/word/?hash=9fccfb7e5ae9a0b4bbd8683ddd8f4570&amp;id=212742&amp;typ=epr#_ftn1" TargetMode="External"/><Relationship Id="rId8" Type="http://schemas.openxmlformats.org/officeDocument/2006/relationships/hyperlink" Target="http://shesays.biuroprasowe.pl/word/?hash=9fccfb7e5ae9a0b4bbd8683ddd8f4570&amp;id=212742&amp;typ=epr#_ftn2" TargetMode="External"/><Relationship Id="rId9" Type="http://schemas.openxmlformats.org/officeDocument/2006/relationships/hyperlink" Target="http://shesays.biuroprasowe.pl/word/?hash=9fccfb7e5ae9a0b4bbd8683ddd8f4570&amp;id=212742&amp;typ=epr#_ftn3" TargetMode="External"/><Relationship Id="rId10" Type="http://schemas.openxmlformats.org/officeDocument/2006/relationships/hyperlink" Target="http://shesays.biuroprasowe.pl/word/?hash=9fccfb7e5ae9a0b4bbd8683ddd8f4570&amp;id=212742&amp;typ=epr#_ftnref1" TargetMode="External"/><Relationship Id="rId11" Type="http://schemas.openxmlformats.org/officeDocument/2006/relationships/hyperlink" Target="http://shesays.biuroprasowe.pl/word/?hash=9fccfb7e5ae9a0b4bbd8683ddd8f4570&amp;id=212742&amp;typ=epr#_ftnref2" TargetMode="External"/><Relationship Id="rId12" Type="http://schemas.openxmlformats.org/officeDocument/2006/relationships/hyperlink" Target="http://shesays.biuroprasowe.pl/word/?hash=9fccfb7e5ae9a0b4bbd8683ddd8f4570&amp;id=21274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2026-05-07T22:28:46+02:00</dcterms:created>
  <dcterms:modified xsi:type="dcterms:W3CDTF">2026-05-07T22:28:46+02:00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