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WIŚNIOWSKI inwestuje w dział transportu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WIŚNIOWSKI, wiodący producent bram, drzwi, ogrodzeń i okien rozbudowuje swoją flotę transportową. Firma zakupiła nowe pojazdy ciężarowe, które wzmocnią jej flotę i zwiększą efektywność logistyki.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Dzięki tej inwestycji, WIŚNIOWSKI będzie w stanie jeszcze lepiej odpowiadać na rosnące zapotrzebowanie klientów oraz zapewniać jeszcze szybsze dostawy na terenie całego kraju i za granicą. Nowe pojazdy wyposażone są w najnowsze systemy telematyczne, pozwalające na efektywne zarządzanie flotą, wyznaczanie najbardziej optymalnych tras, a także optymalizację procesów biznesowych - w myśl redukcji kosztów czy negatywnego wpływu na środowisko.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Zakup nowych pojazdów ciężarowych to kolejny krok w rozwoju naszego przedsiębiorstwa. Inwestujemy w dział transportu, aby móc lepiej sprostać oczekiwaniom naszych klientów oraz zwiększyć konkurencyjność na rynku. Efektywna logistyka to klucz do sukcesu w branży, w której działamy, a nowe pojazdy marki VOLVO pozwolą nam na jeszcze sprawniejszą realizację dostaw. Jesteśmy przekonani, że ta inwestycja przyniesie wymierne korzyści zarówno nam, jak i naszym klientom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</w:rPr>
        <w:t xml:space="preserve">komentuje członek zarządu oraz dyrektor transportu i logistyki, </w:t>
      </w:r>
      <w:r>
        <w:rPr>
          <w:rFonts w:ascii="calibri" w:hAnsi="calibri" w:eastAsia="calibri" w:cs="calibri"/>
          <w:sz w:val="24"/>
          <w:szCs w:val="24"/>
          <w:b/>
        </w:rPr>
        <w:t xml:space="preserve">Bartłomiej Serafin.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Nowe inwestycje w dział transportu to kolejny dowód na zaangażowanie firmy w ciągłe doskonalenie swoich usług i produktów, a także rozwój branży budowlanej. Dziś firma posiada w swojej flocie ponad 250 środków transportu, które dystrybuują produkty do ponad 30 krajów świata. Rocznie firma wykonuje ponad 30 tysięcy zleceń transportowych na terenie kraju i za granicą.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Polska firma z Małopolski od lat stawia na innowacje i rozwój całej organizacji. Dla przypomnienia: w 2021 WIŚNIOWSKI zakończył jedną z największych inwestycji, czyli budowę pięciokondygnacyjnego biurowca o długości ponad 94 metrów, w którym zmieściłoby się niemal 100 luksusowych apartamentów. Zakład w Wielogłowach o powierzchni produkcyjnej 270 ha, w myśl idei Przemysł 4.0, został wyposażony w najnowszej technologii maszyny i 3 autonomiczne fabryki, których koszt inwestycji jest wart ponad 140 mln zł.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2026-10-14T10:24:34+02:00</dcterms:created>
  <dcterms:modified xsi:type="dcterms:W3CDTF">2026-10-14T10:24:34+02:00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